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توريد مواد بناء</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والمواد</w:t>
            </w:r>
          </w:p>
          <w:p>
            <w:pPr>
              <w:pStyle w:val="ListBullet"/>
              <w:bidi/>
              <w:spacing w:after="100"/>
              <w:jc w:val="right"/>
            </w:pPr>
            <w:r>
              <w:rPr>
                <w:rFonts w:ascii="Arial" w:hAnsi="Arial"/>
                <w:color w:val="2D3732"/>
                <w:sz w:val="21"/>
              </w:rPr>
              <w:t>المورّد والسجل أو الترخيص: [....................]</w:t>
            </w:r>
          </w:p>
          <w:p>
            <w:pPr>
              <w:pStyle w:val="ListBullet"/>
              <w:bidi/>
              <w:spacing w:after="100"/>
              <w:jc w:val="right"/>
            </w:pPr>
            <w:r>
              <w:rPr>
                <w:rFonts w:ascii="Arial" w:hAnsi="Arial"/>
                <w:color w:val="2D3732"/>
                <w:sz w:val="21"/>
              </w:rPr>
              <w:t>المشتري وموقع المشروع: [....................]</w:t>
            </w:r>
          </w:p>
          <w:p>
            <w:pPr>
              <w:pStyle w:val="ListBullet"/>
              <w:bidi/>
              <w:spacing w:after="100"/>
              <w:jc w:val="right"/>
            </w:pPr>
            <w:r>
              <w:rPr>
                <w:rFonts w:ascii="Arial" w:hAnsi="Arial"/>
                <w:color w:val="2D3732"/>
                <w:sz w:val="21"/>
              </w:rPr>
              <w:t>جدول الأصناف والكميات: [....................]</w:t>
            </w:r>
          </w:p>
          <w:p>
            <w:pPr>
              <w:pStyle w:val="ListBullet"/>
              <w:bidi/>
              <w:spacing w:after="100"/>
              <w:jc w:val="right"/>
            </w:pPr>
            <w:r>
              <w:rPr>
                <w:rFonts w:ascii="Arial" w:hAnsi="Arial"/>
                <w:color w:val="2D3732"/>
                <w:sz w:val="21"/>
              </w:rPr>
              <w:t>المواصفات والمنشأ والعينات المعتمدة: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السعر والدفع</w:t>
            </w:r>
          </w:p>
          <w:p>
            <w:pPr>
              <w:pStyle w:val="ListBullet"/>
              <w:bidi/>
              <w:spacing w:after="100"/>
              <w:jc w:val="right"/>
            </w:pPr>
            <w:r>
              <w:rPr>
                <w:rFonts w:ascii="Arial" w:hAnsi="Arial"/>
                <w:color w:val="2D3732"/>
                <w:sz w:val="21"/>
              </w:rPr>
              <w:t>سعر الوحدة والإجمالي والعملة: [....................]</w:t>
            </w:r>
          </w:p>
          <w:p>
            <w:pPr>
              <w:pStyle w:val="ListBullet"/>
              <w:bidi/>
              <w:spacing w:after="100"/>
              <w:jc w:val="right"/>
            </w:pPr>
            <w:r>
              <w:rPr>
                <w:rFonts w:ascii="Arial" w:hAnsi="Arial"/>
                <w:color w:val="2D3732"/>
                <w:sz w:val="21"/>
              </w:rPr>
              <w:t>صلاحية السعر وآلية تعديل الكميات أو الأسعار: [....................]</w:t>
            </w:r>
          </w:p>
          <w:p>
            <w:pPr>
              <w:pStyle w:val="ListBullet"/>
              <w:bidi/>
              <w:spacing w:after="100"/>
              <w:jc w:val="right"/>
            </w:pPr>
            <w:r>
              <w:rPr>
                <w:rFonts w:ascii="Arial" w:hAnsi="Arial"/>
                <w:color w:val="2D3732"/>
                <w:sz w:val="21"/>
              </w:rPr>
              <w:t>الدفعات والضمانات والإيصالات: [....................]</w:t>
            </w:r>
          </w:p>
          <w:p>
            <w:pPr>
              <w:pStyle w:val="ListBullet"/>
              <w:bidi/>
              <w:spacing w:after="100"/>
              <w:jc w:val="right"/>
            </w:pPr>
            <w:r>
              <w:rPr>
                <w:rFonts w:ascii="Arial" w:hAnsi="Arial"/>
                <w:color w:val="2D3732"/>
                <w:sz w:val="21"/>
              </w:rPr>
              <w:t>الضرائب والنقل والتحميل والتنزيل: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التسليم والفحص</w:t>
            </w:r>
          </w:p>
          <w:p>
            <w:pPr>
              <w:pStyle w:val="ListBullet"/>
              <w:bidi/>
              <w:spacing w:after="100"/>
              <w:jc w:val="right"/>
            </w:pPr>
            <w:r>
              <w:rPr>
                <w:rFonts w:ascii="Arial" w:hAnsi="Arial"/>
                <w:color w:val="2D3732"/>
                <w:sz w:val="21"/>
              </w:rPr>
              <w:t>برنامج ومكان التسليم: [....................]</w:t>
            </w:r>
          </w:p>
          <w:p>
            <w:pPr>
              <w:pStyle w:val="ListBullet"/>
              <w:bidi/>
              <w:spacing w:after="100"/>
              <w:jc w:val="right"/>
            </w:pPr>
            <w:r>
              <w:rPr>
                <w:rFonts w:ascii="Arial" w:hAnsi="Arial"/>
                <w:color w:val="2D3732"/>
                <w:sz w:val="21"/>
              </w:rPr>
              <w:t>الوزن أو القياس وطريقة إثباته: [....................]</w:t>
            </w:r>
          </w:p>
          <w:p>
            <w:pPr>
              <w:pStyle w:val="ListBullet"/>
              <w:bidi/>
              <w:spacing w:after="100"/>
              <w:jc w:val="right"/>
            </w:pPr>
            <w:r>
              <w:rPr>
                <w:rFonts w:ascii="Arial" w:hAnsi="Arial"/>
                <w:color w:val="2D3732"/>
                <w:sz w:val="21"/>
              </w:rPr>
              <w:t>الفحص والقبول ومدة الاعتراض: [....................]</w:t>
            </w:r>
          </w:p>
          <w:p>
            <w:pPr>
              <w:pStyle w:val="ListBullet"/>
              <w:bidi/>
              <w:spacing w:after="100"/>
              <w:jc w:val="right"/>
            </w:pPr>
            <w:r>
              <w:rPr>
                <w:rFonts w:ascii="Arial" w:hAnsi="Arial"/>
                <w:color w:val="2D3732"/>
                <w:sz w:val="21"/>
              </w:rPr>
              <w:t>رفض المواد المخالفة واستبدالها: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التأخير والضمان</w:t>
            </w:r>
          </w:p>
          <w:p>
            <w:pPr>
              <w:pStyle w:val="ListBullet"/>
              <w:bidi/>
              <w:spacing w:after="100"/>
              <w:jc w:val="right"/>
            </w:pPr>
            <w:r>
              <w:rPr>
                <w:rFonts w:ascii="Arial" w:hAnsi="Arial"/>
                <w:color w:val="2D3732"/>
                <w:sz w:val="21"/>
              </w:rPr>
              <w:t>القوة القاهرة والإشعار: [....................]</w:t>
            </w:r>
          </w:p>
          <w:p>
            <w:pPr>
              <w:pStyle w:val="ListBullet"/>
              <w:bidi/>
              <w:spacing w:after="100"/>
              <w:jc w:val="right"/>
            </w:pPr>
            <w:r>
              <w:rPr>
                <w:rFonts w:ascii="Arial" w:hAnsi="Arial"/>
                <w:color w:val="2D3732"/>
                <w:sz w:val="21"/>
              </w:rPr>
              <w:t>التأخير وآثاره المتفق عليها قانونًا: [....................]</w:t>
            </w:r>
          </w:p>
          <w:p>
            <w:pPr>
              <w:pStyle w:val="ListBullet"/>
              <w:bidi/>
              <w:spacing w:after="100"/>
              <w:jc w:val="right"/>
            </w:pPr>
            <w:r>
              <w:rPr>
                <w:rFonts w:ascii="Arial" w:hAnsi="Arial"/>
                <w:color w:val="2D3732"/>
                <w:sz w:val="21"/>
              </w:rPr>
              <w:t>ضمان الجودة والمسؤولية عن العيوب: [....................]</w:t>
            </w:r>
          </w:p>
          <w:p>
            <w:pPr>
              <w:pStyle w:val="ListBullet"/>
              <w:bidi/>
              <w:spacing w:after="100"/>
              <w:jc w:val="right"/>
            </w:pPr>
            <w:r>
              <w:rPr>
                <w:rFonts w:ascii="Arial" w:hAnsi="Arial"/>
                <w:color w:val="2D3732"/>
                <w:sz w:val="21"/>
              </w:rPr>
              <w:t>الإنهاء وتسوية الحساب والنزاع: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توريد مواد بناء</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