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اتفاق وساطة عقارية</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والتفويض</w:t>
            </w:r>
          </w:p>
          <w:p>
            <w:pPr>
              <w:pStyle w:val="ListBullet"/>
              <w:bidi/>
              <w:spacing w:after="100"/>
              <w:jc w:val="right"/>
            </w:pPr>
            <w:r>
              <w:rPr>
                <w:rFonts w:ascii="Arial" w:hAnsi="Arial"/>
                <w:color w:val="2D3732"/>
                <w:sz w:val="21"/>
              </w:rPr>
              <w:t>صاحب العقار/طالب الخدمة: [....................]</w:t>
            </w:r>
          </w:p>
          <w:p>
            <w:pPr>
              <w:pStyle w:val="ListBullet"/>
              <w:bidi/>
              <w:spacing w:after="100"/>
              <w:jc w:val="right"/>
            </w:pPr>
            <w:r>
              <w:rPr>
                <w:rFonts w:ascii="Arial" w:hAnsi="Arial"/>
                <w:color w:val="2D3732"/>
                <w:sz w:val="21"/>
              </w:rPr>
              <w:t>الوسيط أو المكتب وبياناته: [....................]</w:t>
            </w:r>
          </w:p>
          <w:p>
            <w:pPr>
              <w:pStyle w:val="ListBullet"/>
              <w:bidi/>
              <w:spacing w:after="100"/>
              <w:jc w:val="right"/>
            </w:pPr>
            <w:r>
              <w:rPr>
                <w:rFonts w:ascii="Arial" w:hAnsi="Arial"/>
                <w:color w:val="2D3732"/>
                <w:sz w:val="21"/>
              </w:rPr>
              <w:t>العقار ونوع العملية المطلوبة: [بيع/إيجار/غيره]</w:t>
            </w:r>
          </w:p>
          <w:p>
            <w:pPr>
              <w:pStyle w:val="ListBullet"/>
              <w:bidi/>
              <w:spacing w:after="100"/>
              <w:jc w:val="right"/>
            </w:pPr>
            <w:r>
              <w:rPr>
                <w:rFonts w:ascii="Arial" w:hAnsi="Arial"/>
                <w:color w:val="2D3732"/>
                <w:sz w:val="21"/>
              </w:rPr>
              <w:t>هل التفويض حصري؟ ومدته ونطاقه: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الأجر والتسويق</w:t>
            </w:r>
          </w:p>
          <w:p>
            <w:pPr>
              <w:pStyle w:val="ListBullet"/>
              <w:bidi/>
              <w:spacing w:after="100"/>
              <w:jc w:val="right"/>
            </w:pPr>
            <w:r>
              <w:rPr>
                <w:rFonts w:ascii="Arial" w:hAnsi="Arial"/>
                <w:color w:val="2D3732"/>
                <w:sz w:val="21"/>
              </w:rPr>
              <w:t>أجر الوساطة ومتى يستحق ومن يدفعه: [....................]</w:t>
            </w:r>
          </w:p>
          <w:p>
            <w:pPr>
              <w:pStyle w:val="ListBullet"/>
              <w:bidi/>
              <w:spacing w:after="100"/>
              <w:jc w:val="right"/>
            </w:pPr>
            <w:r>
              <w:rPr>
                <w:rFonts w:ascii="Arial" w:hAnsi="Arial"/>
                <w:color w:val="2D3732"/>
                <w:sz w:val="21"/>
              </w:rPr>
              <w:t>مصاريف الإعلان والتصوير والمعاينات: [....................]</w:t>
            </w:r>
          </w:p>
          <w:p>
            <w:pPr>
              <w:pStyle w:val="ListBullet"/>
              <w:bidi/>
              <w:spacing w:after="100"/>
              <w:jc w:val="right"/>
            </w:pPr>
            <w:r>
              <w:rPr>
                <w:rFonts w:ascii="Arial" w:hAnsi="Arial"/>
                <w:color w:val="2D3732"/>
                <w:sz w:val="21"/>
              </w:rPr>
              <w:t>سعر العرض وحدود التفاوض ومن يملك قبول العرض: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الإفصاح والحماية</w:t>
            </w:r>
          </w:p>
          <w:p>
            <w:pPr>
              <w:pStyle w:val="ListBullet"/>
              <w:bidi/>
              <w:spacing w:after="100"/>
              <w:jc w:val="right"/>
            </w:pPr>
            <w:r>
              <w:rPr>
                <w:rFonts w:ascii="Arial" w:hAnsi="Arial"/>
                <w:color w:val="2D3732"/>
                <w:sz w:val="21"/>
              </w:rPr>
              <w:t>يقر المالك بصحة البيانات والمستندات ويبلغ الوسيط بأي إشارة أو نزاع.</w:t>
            </w:r>
          </w:p>
          <w:p>
            <w:pPr>
              <w:pStyle w:val="ListBullet"/>
              <w:bidi/>
              <w:spacing w:after="100"/>
              <w:jc w:val="right"/>
            </w:pPr>
            <w:r>
              <w:rPr>
                <w:rFonts w:ascii="Arial" w:hAnsi="Arial"/>
                <w:color w:val="2D3732"/>
                <w:sz w:val="21"/>
              </w:rPr>
              <w:t>الوسيط لا يستلم عربونًا أو ثمنًا إلا بتفويض خطي واضح وإيصال نظامي.</w:t>
            </w:r>
          </w:p>
          <w:p>
            <w:pPr>
              <w:pStyle w:val="ListBullet"/>
              <w:bidi/>
              <w:spacing w:after="100"/>
              <w:jc w:val="right"/>
            </w:pPr>
            <w:r>
              <w:rPr>
                <w:rFonts w:ascii="Arial" w:hAnsi="Arial"/>
                <w:color w:val="2D3732"/>
                <w:sz w:val="21"/>
              </w:rPr>
              <w:t>حماية المفاتيح والوثائق والبيانات الشخصية: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الإنهاء</w:t>
            </w:r>
          </w:p>
          <w:p>
            <w:pPr>
              <w:pStyle w:val="ListBullet"/>
              <w:bidi/>
              <w:spacing w:after="100"/>
              <w:jc w:val="right"/>
            </w:pPr>
            <w:r>
              <w:rPr>
                <w:rFonts w:ascii="Arial" w:hAnsi="Arial"/>
                <w:color w:val="2D3732"/>
                <w:sz w:val="21"/>
              </w:rPr>
              <w:t>إنهاء التفويض والصفقات الناتجة عن عمل الوسيط خلال مدة لاحقة: [....................]</w:t>
            </w:r>
          </w:p>
          <w:p>
            <w:pPr>
              <w:pStyle w:val="ListBullet"/>
              <w:bidi/>
              <w:spacing w:after="100"/>
              <w:jc w:val="right"/>
            </w:pPr>
            <w:r>
              <w:rPr>
                <w:rFonts w:ascii="Arial" w:hAnsi="Arial"/>
                <w:color w:val="2D3732"/>
                <w:sz w:val="21"/>
              </w:rPr>
              <w:t>تسوية النزاع: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اتفاق وساطة عقارية</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